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A" w:rsidRPr="00451B30" w:rsidRDefault="004B3F7A" w:rsidP="00634744">
      <w:pPr>
        <w:pStyle w:val="Comment"/>
        <w:spacing w:before="240"/>
        <w:rPr>
          <w:rFonts w:ascii="Times New Roman" w:hAnsi="Times New Roman"/>
          <w:b/>
          <w:i w:val="0"/>
          <w:sz w:val="36"/>
          <w:szCs w:val="36"/>
        </w:rPr>
      </w:pPr>
      <w:r w:rsidRPr="00451B30">
        <w:rPr>
          <w:rFonts w:ascii="Times New Roman" w:hAnsi="Times New Roman"/>
          <w:b/>
          <w:i w:val="0"/>
          <w:sz w:val="36"/>
          <w:szCs w:val="36"/>
        </w:rPr>
        <w:t xml:space="preserve">In our study of </w:t>
      </w:r>
      <w:r w:rsidRPr="00451B30">
        <w:rPr>
          <w:rFonts w:ascii="Times New Roman" w:hAnsi="Times New Roman"/>
          <w:b/>
          <w:i w:val="0"/>
          <w:sz w:val="36"/>
          <w:szCs w:val="36"/>
          <w:u w:val="single"/>
        </w:rPr>
        <w:t>Hamlet</w:t>
      </w:r>
      <w:r w:rsidRPr="00451B30">
        <w:rPr>
          <w:rFonts w:ascii="Times New Roman" w:hAnsi="Times New Roman"/>
          <w:b/>
          <w:i w:val="0"/>
          <w:sz w:val="36"/>
          <w:szCs w:val="36"/>
        </w:rPr>
        <w:t xml:space="preserve"> we will examine the BIG SOLILOQUIES, </w:t>
      </w:r>
      <w:r w:rsidR="00E93554" w:rsidRPr="00451B30">
        <w:rPr>
          <w:rFonts w:ascii="Times New Roman" w:hAnsi="Times New Roman"/>
          <w:b/>
          <w:i w:val="0"/>
          <w:sz w:val="36"/>
          <w:szCs w:val="36"/>
        </w:rPr>
        <w:t>and then</w:t>
      </w:r>
      <w:r w:rsidRPr="00451B30">
        <w:rPr>
          <w:rFonts w:ascii="Times New Roman" w:hAnsi="Times New Roman"/>
          <w:b/>
          <w:i w:val="0"/>
          <w:sz w:val="36"/>
          <w:szCs w:val="36"/>
        </w:rPr>
        <w:t xml:space="preserve"> we will examine several devices and language tricks such as enjambment, </w:t>
      </w:r>
      <w:r w:rsidR="00E93554" w:rsidRPr="00451B30">
        <w:rPr>
          <w:rFonts w:ascii="Times New Roman" w:hAnsi="Times New Roman"/>
          <w:b/>
          <w:i w:val="0"/>
          <w:sz w:val="36"/>
          <w:szCs w:val="36"/>
        </w:rPr>
        <w:t>copiousness, monosyllables</w:t>
      </w:r>
      <w:r w:rsidR="00451B30" w:rsidRPr="00451B30">
        <w:rPr>
          <w:rFonts w:ascii="Times New Roman" w:hAnsi="Times New Roman"/>
          <w:b/>
          <w:i w:val="0"/>
          <w:sz w:val="36"/>
          <w:szCs w:val="36"/>
        </w:rPr>
        <w:t>, antithesis</w:t>
      </w:r>
      <w:r w:rsidRPr="00451B30">
        <w:rPr>
          <w:rFonts w:ascii="Times New Roman" w:hAnsi="Times New Roman"/>
          <w:b/>
          <w:i w:val="0"/>
          <w:sz w:val="36"/>
          <w:szCs w:val="36"/>
        </w:rPr>
        <w:t xml:space="preserve">, </w:t>
      </w:r>
      <w:r w:rsidR="002B517B">
        <w:rPr>
          <w:rFonts w:ascii="Times New Roman" w:hAnsi="Times New Roman"/>
          <w:b/>
          <w:i w:val="0"/>
          <w:sz w:val="36"/>
          <w:szCs w:val="36"/>
        </w:rPr>
        <w:t xml:space="preserve">and </w:t>
      </w:r>
      <w:r w:rsidRPr="00451B30">
        <w:rPr>
          <w:rFonts w:ascii="Times New Roman" w:hAnsi="Times New Roman"/>
          <w:b/>
          <w:i w:val="0"/>
          <w:sz w:val="36"/>
          <w:szCs w:val="36"/>
        </w:rPr>
        <w:t>the use of foils</w:t>
      </w:r>
      <w:r w:rsidR="00E93554" w:rsidRPr="00451B30">
        <w:rPr>
          <w:rFonts w:ascii="Times New Roman" w:hAnsi="Times New Roman"/>
          <w:b/>
          <w:i w:val="0"/>
          <w:sz w:val="36"/>
          <w:szCs w:val="36"/>
        </w:rPr>
        <w:t>. Next, we will explore the major themes. Finally we will end with dramatic presentations and a fine test.</w:t>
      </w:r>
    </w:p>
    <w:p w:rsidR="00634744" w:rsidRDefault="00634744" w:rsidP="00634744">
      <w:pPr>
        <w:pStyle w:val="Comment"/>
        <w:spacing w:before="240"/>
        <w:rPr>
          <w:sz w:val="28"/>
          <w:szCs w:val="28"/>
          <w:u w:val="single"/>
        </w:rPr>
      </w:pPr>
      <w:r w:rsidRPr="00B91503">
        <w:rPr>
          <w:sz w:val="28"/>
          <w:szCs w:val="28"/>
        </w:rPr>
        <w:t xml:space="preserve">“Most of Shakespeare’s set speeches and soliloquies have three parts: the </w:t>
      </w:r>
      <w:r w:rsidRPr="002B517B">
        <w:rPr>
          <w:b/>
          <w:color w:val="FF0000"/>
          <w:sz w:val="36"/>
          <w:szCs w:val="36"/>
        </w:rPr>
        <w:t>response to a specific set of circumstances</w:t>
      </w:r>
      <w:r w:rsidRPr="00B91503">
        <w:rPr>
          <w:sz w:val="28"/>
          <w:szCs w:val="28"/>
        </w:rPr>
        <w:t xml:space="preserve">, the character’s </w:t>
      </w:r>
      <w:r w:rsidRPr="002B517B">
        <w:rPr>
          <w:b/>
          <w:color w:val="FF0000"/>
          <w:sz w:val="40"/>
          <w:szCs w:val="40"/>
        </w:rPr>
        <w:t>intellectual</w:t>
      </w:r>
      <w:r w:rsidRPr="002B517B">
        <w:rPr>
          <w:b/>
          <w:sz w:val="40"/>
          <w:szCs w:val="40"/>
        </w:rPr>
        <w:t xml:space="preserve"> </w:t>
      </w:r>
      <w:r w:rsidRPr="002B517B">
        <w:rPr>
          <w:b/>
          <w:color w:val="FF0000"/>
          <w:sz w:val="40"/>
          <w:szCs w:val="40"/>
        </w:rPr>
        <w:t>and</w:t>
      </w:r>
      <w:r w:rsidRPr="002B517B">
        <w:rPr>
          <w:color w:val="FF0000"/>
          <w:sz w:val="40"/>
          <w:szCs w:val="40"/>
        </w:rPr>
        <w:t xml:space="preserve"> </w:t>
      </w:r>
      <w:r w:rsidRPr="002B517B">
        <w:rPr>
          <w:b/>
          <w:color w:val="FF0000"/>
          <w:sz w:val="40"/>
          <w:szCs w:val="40"/>
        </w:rPr>
        <w:t>emotional exploration</w:t>
      </w:r>
      <w:r w:rsidRPr="00B91503">
        <w:rPr>
          <w:sz w:val="28"/>
          <w:szCs w:val="28"/>
        </w:rPr>
        <w:t xml:space="preserve"> of that situation, and the </w:t>
      </w:r>
      <w:r w:rsidRPr="002B517B">
        <w:rPr>
          <w:b/>
          <w:color w:val="FF0000"/>
          <w:sz w:val="40"/>
          <w:szCs w:val="40"/>
        </w:rPr>
        <w:t>resolution</w:t>
      </w:r>
      <w:r w:rsidRPr="00B91503">
        <w:rPr>
          <w:sz w:val="40"/>
          <w:szCs w:val="40"/>
        </w:rPr>
        <w:t>.</w:t>
      </w:r>
      <w:r w:rsidRPr="00B91503">
        <w:rPr>
          <w:sz w:val="28"/>
          <w:szCs w:val="28"/>
        </w:rPr>
        <w:t xml:space="preserve"> Avoid generalizing the emotion and instead engage the audience so that they follow the character’s thought process.” John Barton </w:t>
      </w:r>
      <w:r w:rsidRPr="00B91503">
        <w:rPr>
          <w:sz w:val="28"/>
          <w:szCs w:val="28"/>
          <w:u w:val="single"/>
        </w:rPr>
        <w:t>Playing Shakespeare</w:t>
      </w:r>
    </w:p>
    <w:p w:rsidR="00451B30" w:rsidRDefault="00451B30" w:rsidP="00634744">
      <w:pPr>
        <w:pStyle w:val="Comment"/>
        <w:spacing w:before="240"/>
        <w:rPr>
          <w:sz w:val="28"/>
          <w:szCs w:val="28"/>
          <w:u w:val="single"/>
        </w:rPr>
      </w:pPr>
    </w:p>
    <w:p w:rsidR="00451B30" w:rsidRDefault="00451B30" w:rsidP="00634744">
      <w:pPr>
        <w:pStyle w:val="Comment"/>
        <w:spacing w:before="240"/>
        <w:rPr>
          <w:sz w:val="28"/>
          <w:szCs w:val="28"/>
        </w:rPr>
      </w:pPr>
      <w:r w:rsidRPr="00451B30">
        <w:rPr>
          <w:sz w:val="28"/>
          <w:szCs w:val="28"/>
        </w:rPr>
        <w:t xml:space="preserve">Divide and explain the following soliloquies into Barton’s three categories. </w:t>
      </w:r>
    </w:p>
    <w:p w:rsidR="00451B30" w:rsidRDefault="00451B30" w:rsidP="00634744">
      <w:pPr>
        <w:pStyle w:val="Comment"/>
        <w:spacing w:before="240"/>
        <w:rPr>
          <w:sz w:val="28"/>
          <w:szCs w:val="28"/>
        </w:rPr>
      </w:pPr>
    </w:p>
    <w:p w:rsidR="00451B30" w:rsidRPr="00451B30" w:rsidRDefault="00451B30" w:rsidP="00634744">
      <w:pPr>
        <w:pStyle w:val="Comment"/>
        <w:spacing w:before="240"/>
        <w:rPr>
          <w:sz w:val="28"/>
          <w:szCs w:val="28"/>
        </w:rPr>
      </w:pPr>
    </w:p>
    <w:p w:rsidR="00831227" w:rsidRDefault="00634744">
      <w:r w:rsidRPr="00B91503">
        <w:rPr>
          <w:b/>
          <w:sz w:val="36"/>
          <w:szCs w:val="36"/>
        </w:rPr>
        <w:t>Act I, II, 129-158</w:t>
      </w:r>
      <w:r>
        <w:t xml:space="preserve"> “Oh that his too too-solid flesh would melt,”</w:t>
      </w:r>
    </w:p>
    <w:p w:rsidR="00634744" w:rsidRDefault="002A1A56">
      <w:r w:rsidRPr="00B91503">
        <w:rPr>
          <w:b/>
          <w:sz w:val="40"/>
          <w:szCs w:val="40"/>
        </w:rPr>
        <w:t>Act II, II 545-604</w:t>
      </w:r>
      <w:r>
        <w:t xml:space="preserve"> “Oh what a rogue and peasant slave am I…”</w:t>
      </w:r>
    </w:p>
    <w:p w:rsidR="00634744" w:rsidRDefault="00634744">
      <w:r w:rsidRPr="00B91503">
        <w:rPr>
          <w:b/>
          <w:sz w:val="52"/>
          <w:szCs w:val="52"/>
        </w:rPr>
        <w:t>Act III, I, 58-90</w:t>
      </w:r>
      <w:r>
        <w:t xml:space="preserve"> “To be or not to be: that is the question</w:t>
      </w:r>
      <w:r w:rsidR="002A1A56">
        <w:t>:</w:t>
      </w:r>
      <w:r>
        <w:t>”</w:t>
      </w:r>
    </w:p>
    <w:p w:rsidR="00634744" w:rsidRDefault="00634744">
      <w:r w:rsidRPr="00B91503">
        <w:rPr>
          <w:b/>
          <w:sz w:val="56"/>
          <w:szCs w:val="56"/>
        </w:rPr>
        <w:t>Act III, III, 74-97</w:t>
      </w:r>
      <w:r>
        <w:t xml:space="preserve"> “Now might I do it </w:t>
      </w:r>
      <w:r w:rsidR="002A1A56">
        <w:t>pat, now he is a praying…</w:t>
      </w:r>
      <w:proofErr w:type="gramStart"/>
      <w:r w:rsidR="002A1A56">
        <w:t>”</w:t>
      </w:r>
      <w:proofErr w:type="gramEnd"/>
    </w:p>
    <w:p w:rsidR="002A1A56" w:rsidRDefault="002A1A56">
      <w:r w:rsidRPr="00B91503">
        <w:rPr>
          <w:b/>
          <w:sz w:val="72"/>
          <w:szCs w:val="72"/>
        </w:rPr>
        <w:t>Act IV, IV, 31-65</w:t>
      </w:r>
      <w:r>
        <w:t xml:space="preserve"> “How all occasions do inform against me…”</w:t>
      </w:r>
    </w:p>
    <w:p w:rsidR="004B3F7A" w:rsidRDefault="004B3F7A"/>
    <w:p w:rsidR="00634744" w:rsidRDefault="00634744"/>
    <w:p w:rsidR="00634744" w:rsidRDefault="00634744"/>
    <w:sectPr w:rsidR="00634744" w:rsidSect="00831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34744"/>
    <w:rsid w:val="002A1A56"/>
    <w:rsid w:val="002B517B"/>
    <w:rsid w:val="00451B30"/>
    <w:rsid w:val="004B3F7A"/>
    <w:rsid w:val="005D22A0"/>
    <w:rsid w:val="00634744"/>
    <w:rsid w:val="00831227"/>
    <w:rsid w:val="00B91503"/>
    <w:rsid w:val="00E93554"/>
    <w:rsid w:val="00F6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634744"/>
    <w:pPr>
      <w:tabs>
        <w:tab w:val="right" w:leader="underscore" w:pos="9778"/>
      </w:tabs>
      <w:spacing w:before="120" w:after="120" w:line="480" w:lineRule="auto"/>
    </w:pPr>
    <w:rPr>
      <w:rFonts w:ascii="Arial" w:eastAsia="Times New Roman" w:hAnsi="Arial" w:cs="Times New Roman"/>
      <w:i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Webster</dc:creator>
  <cp:lastModifiedBy>Mark Webster</cp:lastModifiedBy>
  <cp:revision>5</cp:revision>
  <dcterms:created xsi:type="dcterms:W3CDTF">2015-02-06T14:38:00Z</dcterms:created>
  <dcterms:modified xsi:type="dcterms:W3CDTF">2015-02-06T19:05:00Z</dcterms:modified>
</cp:coreProperties>
</file>